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i w:val="0"/>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WHAT THINK YE OF CHRIST?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(Matt. 22:42)</w:t>
      </w: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paper was prepared by Donald L. Canell.)</w:t>
      </w:r>
    </w:p>
    <w:p w:rsidR="00000000" w:rsidDel="00000000" w:rsidP="00000000" w:rsidRDefault="00000000" w:rsidRPr="00000000">
      <w:pPr>
        <w:pBdr/>
        <w:contextualSpacing w:val="0"/>
        <w:rPr>
          <w:rFonts w:ascii="Times New Roman" w:cs="Times New Roman" w:eastAsia="Times New Roman" w:hAnsi="Times New Roman"/>
          <w:b w:val="0"/>
          <w:i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 question asked and related in the scriptures. We would ask, who asked the question? Why was it asked? Did it teach a lesson to those who heard it, at the time it was asked? Is it a lesson for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surely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Scripture, given by inspiration of God, is profitable for doctrine, for reproof, for correction, for instruction in righteousness; that the man of God may be perfect, thoroughly furnished unto all good works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2 Tim. 3:16, 17.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answer the questions we have asked, as well as the one contained in our title, we must consider the circumstances of the title question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consider the context.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asked by our Lord himself. It came as a result of His being asked some three questions, by various persons. Note the 15th verse of Matt. 22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went the Pharisees, and took counsel how they might entangle him in his talk.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an advantage here that the Pharisees did not have. Had they been in the right heart attitude, they could have had this advantage. We are aware that our Lord was a perfect man; also he was begotten of the Holy Spirit of His Heavenly Father. This 15th verse indicates to us that the Pharisees had a mission, which mission was completely impossible of fulfillment. But let us note how they completely failed of this self-made mission.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verse 16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Pharisees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sent out unto him their disciples with the Herodians, saying, Master, we know that thou art true, and teachest the way of God in truth, neither carest thou for any man; for thou regardest not the person of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understand that the Herodians were sons of Abraham through Hagar, just as Herod was, thus the term Herodians. They might also be styled Ishmaelites, since they were direct descend</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nts of Ishmael, the son of Hagar. They took sides with Herod in believing that the Roman Empire should have complete political control. They believed in taxation, the Pharisees did not. We have two groups here at variance one with another (at least on some points) yet willing to join hands (as it were) to oppose our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 our Lord was becoming quite popular with the common people, it was the desire of this alliance, to check his popularity. Since everyone was interested in taxation, and how it affected them, a question would be put to him, in the presence of many.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Tell us therefore, What thinkest thou? Is it lawful to give tribute unto Caesar, or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22:17.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them His answer would be limited.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would leave himself open to the charge of sedition, liable to arrest for opposing the Roman government.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it is lawful to pay tribute to Caesar,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would then lose his influence with at least some of the people. But our Lord gave an answer that was much broader and more comprehensive that they, or anyone else would have thought possible. We keep in mind that the enemies of our Lord had resorted to flattery. We believe the slang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buttered him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fit here. Let us notice their expression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thou art true, and teachest the way of God in Truth, neither carest thou for any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Weymouth translation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fear of man misleads you, for thou regardest not the person of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18 of Matt. 22, reveals that Jesus was aware of the true situation, and the condition of their hearts, and he makes this known publicly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Jesus perceived their wickedness, and said, Why tempt ye me, ye hypocrites?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According to the original text, this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wickedness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pertained to something beyond the fall from original virtue. It has the thought of malice and viciousness.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Can we imagine?!!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professed holy people of God, with </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attitude!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Regardless of even this, our Lord continues according to verse 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Show me the tribute money, and they brought unto him a penny.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(Denarius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coin used at the time, Diaglott) Verse 20 and 21, Diaglott,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Whose likeness and inscription is this? They say unto him, Caesar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Then saith he unto them, Render therefore unto Caesar the things which are Caesar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unto God the things that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reply of our Lord has come ringing down through the age! Many people who make no profession of studying the Bible, know of this remarkable reply of our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was the perfect answer. Our Lord lifted the whole matter out of the quibbling aspect, placed upon it by the Herodians and the Pharisees.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had not asked our Lord about their position before God, but it was a good opportunity for him to remind them of this, and he did so. Not only was Caesar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inscription and likeness stamped upon this coin, but as originally created, man bore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image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stamped upon his very nature. The persons addressed in this given situation should have remembered also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inscription was upon them. He had accepted them as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Israel. We see then that the heart, the life, the affections, belong to God, and should be rendered to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this is done, the paying of a little tribute money to some earthly prince, passes into insignificance.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would seem that thus far all would be impressed with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answer and the manner in which he handled the whole matter. We notice that those whom our Lord addressed, were also impressed according to verse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they had heard these words, they marveled,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were astonished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Weymouth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left, and went their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were sidetracked for the moment, but they came again, this time the approach was made by the Sadducees who evidently were part of the (unholy) alliance formed against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23 reveals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same day came to him the Sadducees, which say that there is no resurrection, and asked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question was to be based upon a story concerning a woman who had seven husbands. The seven husbands were brothers of one family, according to the story, and each became husband to this woman, as the previous brother died. This was in keeping with the Jewish law, as recorded in Deut. 25:5, 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Going on the false premise that there was no resurrection of the dead, these would quite naturally fabricate this type of story to fit their disbelief in that doctrine. Like their counterpart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Pharisees and the Herodians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supposed that their question was foolproof. They were certain that they had the perfect story, and a question based upon that story would prove that there was no resurrection from the dead.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after relating the story concerning this woman who had seven husbands, their question was (V. 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in the resurrection, whose wife shall she be of the seven?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reply to them told them that the difficulty was with them. He was telling them that there was nothing wrong with the Divine Plan, but with them. They had failed to understand the Scriptures, and also failed to properly understand the power of God. Verses 29 and 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answered and said unto them, Ye do err, not knowing the scriptures, nor the power of God. For in the resurrection they neither marry, nor are given in marriage, but are as the angels of God in heaven.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Fro</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this we learn that sex distinctions will cease in the human race during the Millennial age. Additionally we learn that the sex function does not exist among the angels.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present lesson our Lord goes beyond the answer to their question and demonstrates that the resurrection is taught in the Old Testament, the only Scriptures then in existence, in spite of the fact that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found in those Old Testament Scriptures. We should especially notice that our Lord did not refer to a scripture that states in so many words that there is to be a resurrection from the dead. He refers to Exodus 3:6 and 16, as recorded in verses 31 and 32 of Matt. 22.</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superscript"/>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superscript"/>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touching the resurrection of the dead, have ye not read that which was spoken unto </w:t>
      </w:r>
      <w:r w:rsidDel="00000000" w:rsidR="00000000" w:rsidRPr="00000000">
        <w:rPr>
          <w:rFonts w:ascii="Times New Roman" w:cs="Times New Roman" w:eastAsia="Times New Roman" w:hAnsi="Times New Roman"/>
          <w:b w:val="0"/>
          <w:sz w:val="28"/>
          <w:szCs w:val="28"/>
          <w:u w:val="single"/>
          <w:vertAlign w:val="baseline"/>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 by God, saying, I am the God of Abraham, and the God of Isaac, and the God of Jacob? God is not the God of the dead, but of the living.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was saying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language with reference to the Patriarchs, </w:t>
      </w:r>
      <w:r w:rsidDel="00000000" w:rsidR="00000000" w:rsidRPr="00000000">
        <w:rPr>
          <w:rFonts w:ascii="Times New Roman" w:cs="Times New Roman" w:eastAsia="Times New Roman" w:hAnsi="Times New Roman"/>
          <w:b w:val="0"/>
          <w:sz w:val="28"/>
          <w:szCs w:val="28"/>
          <w:u w:val="single"/>
          <w:vertAlign w:val="baseline"/>
          <w:rtl w:val="0"/>
        </w:rPr>
        <w:t xml:space="preserve">implied</w:t>
      </w:r>
      <w:r w:rsidDel="00000000" w:rsidR="00000000" w:rsidRPr="00000000">
        <w:rPr>
          <w:rFonts w:ascii="Times New Roman" w:cs="Times New Roman" w:eastAsia="Times New Roman" w:hAnsi="Times New Roman"/>
          <w:b w:val="0"/>
          <w:sz w:val="28"/>
          <w:szCs w:val="28"/>
          <w:vertAlign w:val="baseline"/>
          <w:rtl w:val="0"/>
        </w:rPr>
        <w:t xml:space="preserve"> that they are not completely blotted out of existence. We believe our Lord was saying that God would not use such language as he did, respecting those who had passed totally out of existence and were never to be in existence again. His answer was evidently a complete one as indicated in verses 33 and 34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the multitude heard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reference to the Old Testament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were astonished at his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34 reveals that He had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the Sadducees to silence.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Evidently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reference to those Scriptures that indirectly supported a resurrection of the dead were very potent.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Yet a third question was presented to our Lord, according to verse 35 of Matt.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one of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Pharisee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was a lawyer, asked him a question, tempting him, and saying, Master, which is the great commandment in the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question evidently involved much discussion among the Pharisees. Which was the great commandment?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Apparently this lawyer was sincere in his request or question, according to Mark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account of this same incident (Mark 32:28) which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one of the scribes came, and having heard them reasoning together and perceiving that he had answered them well, asked him saying, which is the first commandment of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go back to Matthew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account for the answer (Matt. 22:37),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said unto him, Thou shalt love the Lord thy God with all thy heart, and with all thy soul, and with all thy mind. This is the first and great commandment. And the second is like unto it, Thou shalt love thy neighbour as thyself. On these two commandments hang all the law and the prophets.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our Lord did not point to a Scripture that directly referred to such and such a commandment as being the first and greatest. He condensed the entire law in the two commandments, the one showing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responsibility toward God, and the other showing his responsibility toward his fellow man. A little simple logic and reasoning would tell those who heard his words, that if a man loved his God with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heart, soul and mind, he would need no other commandments. The Lord was appealing to their reasoning ability. When we consider that our Lord would appeal to the reason of even those who opposed him, how much more would this be true of those whom he is dealing with regarding the harvest message today.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before leaving this account in Matt. 22, we wish to consider our title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had been asked these three questions: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it lawful to pay tribute to Caesar?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Whose wife shall she be in the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the great commandment in the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He turns questioner: verses 41 and 42,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the Pharisees were gathered together, Jesus asked them, Saying, What think ye of Christ? whose son is he? They say unto him, The Son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keep in mind, that our Lord did not ask this question with the same motive as his enemies had asked him questions. He was not trying to trip them up, but appealed to their reason, as already mentioned.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had no outward evidences of being able to establish a kingdom.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true that he had performed many miracles, but in the opinion of his enemies, he lacked what they thought he should have, if he were the Messiah. They did not accept his claim of a Heavenly origin. So when Jesus asked this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well knew what their answer would be.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 earthly genealogy they could easily prove, and to his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Whose son is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replied,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son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wished to show however, from the Scriptures that the Messiah must be something more than the son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must be both the son and Lord of David. Matt. 22:43,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saith unto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question form, and in reply to their answer that Messiah must be the son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then doth David in spirit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inspiration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call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Lord, saying (V. 44)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said unto my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sit thou on my right hand, till I make thine enemies thy footstool? If David then call him Lord, how is he his son? And no man was able to answer him a word, neither durst any man from that day forth ask him any more questions.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again was a Scripture, and a question based upon that Scripture, that appealed to the reason of all who heard.</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the Fifth Volume, page 129, in chapter six, this subject is treated at length—</w:t>
      </w:r>
      <w:r w:rsidDel="00000000" w:rsidR="00000000" w:rsidRPr="00000000">
        <w:rPr>
          <w:sz w:val="28"/>
          <w:szCs w:val="28"/>
          <w:rtl w:val="0"/>
        </w:rPr>
        <w:t xml:space="preserve">“</w:t>
      </w:r>
      <w:r w:rsidDel="00000000" w:rsidR="00000000" w:rsidRPr="00000000">
        <w:rPr>
          <w:sz w:val="28"/>
          <w:szCs w:val="28"/>
          <w:vertAlign w:val="baseline"/>
          <w:rtl w:val="0"/>
        </w:rPr>
        <w:t xml:space="preserve">David’s Son and Lord.</w:t>
      </w:r>
      <w:r w:rsidDel="00000000" w:rsidR="00000000" w:rsidRPr="00000000">
        <w:rPr>
          <w:sz w:val="28"/>
          <w:szCs w:val="28"/>
          <w:rtl w:val="0"/>
        </w:rPr>
        <w:t xml:space="preserve">”</w:t>
      </w:r>
      <w:r w:rsidDel="00000000" w:rsidR="00000000" w:rsidRPr="00000000">
        <w:rPr>
          <w:sz w:val="28"/>
          <w:szCs w:val="28"/>
          <w:vertAlign w:val="baseline"/>
          <w:rtl w:val="0"/>
        </w:rPr>
        <w:t xml:space="preserve"> The pastor points out, from the Scriptures, how Jesus’ right to the throne of David, came about in a natural way, and as a result of his relationship to his mother Mary, and not to his foster father Joseph. Mary’s genealogy traces to David through his son Nathan.</w:t>
      </w:r>
      <w:r w:rsidDel="00000000" w:rsidR="00000000" w:rsidRPr="00000000">
        <w:rPr>
          <w:sz w:val="28"/>
          <w:szCs w:val="28"/>
          <w:rtl w:val="0"/>
        </w:rPr>
        <w:t xml:space="preserve"> </w:t>
      </w:r>
      <w:r w:rsidDel="00000000" w:rsidR="00000000" w:rsidRPr="00000000">
        <w:rPr>
          <w:sz w:val="28"/>
          <w:szCs w:val="28"/>
          <w:vertAlign w:val="baseline"/>
          <w:rtl w:val="0"/>
        </w:rPr>
        <w:t xml:space="preserve">On page 134 of the Fifth Volume we quote the first two paragraphs. </w:t>
      </w:r>
      <w:r w:rsidDel="00000000" w:rsidR="00000000" w:rsidRPr="00000000">
        <w:rPr>
          <w:sz w:val="28"/>
          <w:szCs w:val="28"/>
          <w:rtl w:val="0"/>
        </w:rPr>
        <w:t xml:space="preserve">“</w:t>
      </w:r>
      <w:r w:rsidDel="00000000" w:rsidR="00000000" w:rsidRPr="00000000">
        <w:rPr>
          <w:sz w:val="28"/>
          <w:szCs w:val="28"/>
          <w:vertAlign w:val="baseline"/>
          <w:rtl w:val="0"/>
        </w:rPr>
        <w:t xml:space="preserve">We have seen how our Lord is the branch, or offspring or son of David, and the line through which his genealogy is properly to be traced, and the full accordance of the Scriptures thereto: let us now see in what respect he was David</w:t>
      </w:r>
      <w:r w:rsidDel="00000000" w:rsidR="00000000" w:rsidRPr="00000000">
        <w:rPr>
          <w:sz w:val="28"/>
          <w:szCs w:val="28"/>
          <w:rtl w:val="0"/>
        </w:rPr>
        <w:t xml:space="preserve">’</w:t>
      </w:r>
      <w:r w:rsidDel="00000000" w:rsidR="00000000" w:rsidRPr="00000000">
        <w:rPr>
          <w:sz w:val="28"/>
          <w:szCs w:val="28"/>
          <w:vertAlign w:val="baseline"/>
          <w:rtl w:val="0"/>
        </w:rPr>
        <w:t xml:space="preserve">s Lord. How could Jesus be both the Son and Lord of David?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answer that he is not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Lord by reason of anything that he was as a spirit being before he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made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dwelt amongst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more than he was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Branch or Son in his prehuman existence. Our Lord Jesus </w:t>
      </w:r>
      <w:r w:rsidDel="00000000" w:rsidR="00000000" w:rsidRPr="00000000">
        <w:rPr>
          <w:rFonts w:ascii="Times New Roman" w:cs="Times New Roman" w:eastAsia="Times New Roman" w:hAnsi="Times New Roman"/>
          <w:b w:val="0"/>
          <w:sz w:val="28"/>
          <w:szCs w:val="28"/>
          <w:u w:val="single"/>
          <w:vertAlign w:val="baseline"/>
          <w:rtl w:val="0"/>
        </w:rPr>
        <w:t xml:space="preserve">became</w:t>
      </w:r>
      <w:r w:rsidDel="00000000" w:rsidR="00000000" w:rsidRPr="00000000">
        <w:rPr>
          <w:rFonts w:ascii="Times New Roman" w:cs="Times New Roman" w:eastAsia="Times New Roman" w:hAnsi="Times New Roman"/>
          <w:b w:val="0"/>
          <w:sz w:val="28"/>
          <w:szCs w:val="28"/>
          <w:vertAlign w:val="baseline"/>
          <w:rtl w:val="0"/>
        </w:rPr>
        <w:t xml:space="preserve">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Lord or superior, as well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of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(Acts 10:36) by reason of the great work which he accomplished as the Mediator of the Atonement.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To this end</w:t>
      </w:r>
      <w:r w:rsidDel="00000000" w:rsidR="00000000" w:rsidRPr="00000000">
        <w:rPr>
          <w:rFonts w:ascii="Times New Roman" w:cs="Times New Roman" w:eastAsia="Times New Roman" w:hAnsi="Times New Roman"/>
          <w:b w:val="0"/>
          <w:sz w:val="28"/>
          <w:szCs w:val="28"/>
          <w:vertAlign w:val="baseline"/>
          <w:rtl w:val="0"/>
        </w:rPr>
        <w:t xml:space="preserve"> Christ both died and rose and revived, </w:t>
      </w:r>
      <w:r w:rsidDel="00000000" w:rsidR="00000000" w:rsidRPr="00000000">
        <w:rPr>
          <w:rFonts w:ascii="Times New Roman" w:cs="Times New Roman" w:eastAsia="Times New Roman" w:hAnsi="Times New Roman"/>
          <w:b w:val="0"/>
          <w:sz w:val="28"/>
          <w:szCs w:val="28"/>
          <w:u w:val="single"/>
          <w:vertAlign w:val="baseline"/>
          <w:rtl w:val="0"/>
        </w:rPr>
        <w:t xml:space="preserve">that he might be Lord</w:t>
      </w:r>
      <w:r w:rsidDel="00000000" w:rsidR="00000000" w:rsidRPr="00000000">
        <w:rPr>
          <w:rFonts w:ascii="Times New Roman" w:cs="Times New Roman" w:eastAsia="Times New Roman" w:hAnsi="Times New Roman"/>
          <w:b w:val="0"/>
          <w:sz w:val="28"/>
          <w:szCs w:val="28"/>
          <w:vertAlign w:val="baseline"/>
          <w:rtl w:val="0"/>
        </w:rPr>
        <w:t xml:space="preserve"> both of the dead and living.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Rom. 14:9.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suggest a reading of the entire chapter at your convenience.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it would still be in order to consider our own reply to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 Whose son is 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has been revealed to us, through the Scriptures, that he was David’s son according to the flesh, but also, and more directly the Son of God. We have the combined testimony of the Old and New Testaments concerning this. The New Testament is more directly stated. Mark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beginning of the gospel of Jesus Christ, </w:t>
      </w:r>
      <w:r w:rsidDel="00000000" w:rsidR="00000000" w:rsidRPr="00000000">
        <w:rPr>
          <w:rFonts w:ascii="Times New Roman" w:cs="Times New Roman" w:eastAsia="Times New Roman" w:hAnsi="Times New Roman"/>
          <w:b w:val="0"/>
          <w:sz w:val="28"/>
          <w:szCs w:val="28"/>
          <w:u w:val="single"/>
          <w:vertAlign w:val="baseline"/>
          <w:rtl w:val="0"/>
        </w:rPr>
        <w:t xml:space="preserve">the Son of God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Also Luke 1:35 and John 1:34. The Scriptures are very clear in showing that Jesus was the Son of God, one who received life from another. Not God himself, nor the Holy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there is one God, and one mediator between God and men, the man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Tim. 2:5.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in reply to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might also ask, was he as the Son of God, to have some special appointment over the church? Again we have plain statements of Scripture to affirm that he was. Eph. 1:22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hath put all things under his feet, and gave him to be </w:t>
      </w:r>
      <w:r w:rsidDel="00000000" w:rsidR="00000000" w:rsidRPr="00000000">
        <w:rPr>
          <w:rFonts w:ascii="Times New Roman" w:cs="Times New Roman" w:eastAsia="Times New Roman" w:hAnsi="Times New Roman"/>
          <w:b w:val="0"/>
          <w:sz w:val="28"/>
          <w:szCs w:val="28"/>
          <w:u w:val="single"/>
          <w:vertAlign w:val="baseline"/>
          <w:rtl w:val="0"/>
        </w:rPr>
        <w:t xml:space="preserve">the head</w:t>
      </w:r>
      <w:r w:rsidDel="00000000" w:rsidR="00000000" w:rsidRPr="00000000">
        <w:rPr>
          <w:rFonts w:ascii="Times New Roman" w:cs="Times New Roman" w:eastAsia="Times New Roman" w:hAnsi="Times New Roman"/>
          <w:b w:val="0"/>
          <w:sz w:val="28"/>
          <w:szCs w:val="28"/>
          <w:vertAlign w:val="baseline"/>
          <w:rtl w:val="0"/>
        </w:rPr>
        <w:t xml:space="preserve"> over all things to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Eph. 4:15 the apostle states that we should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 the truth in love, that we may grow up into him in all things, which is </w:t>
      </w:r>
      <w:r w:rsidDel="00000000" w:rsidR="00000000" w:rsidRPr="00000000">
        <w:rPr>
          <w:rFonts w:ascii="Times New Roman" w:cs="Times New Roman" w:eastAsia="Times New Roman" w:hAnsi="Times New Roman"/>
          <w:b w:val="0"/>
          <w:sz w:val="28"/>
          <w:szCs w:val="28"/>
          <w:u w:val="single"/>
          <w:vertAlign w:val="baseline"/>
          <w:rtl w:val="0"/>
        </w:rPr>
        <w:t xml:space="preserve">the head</w:t>
      </w:r>
      <w:r w:rsidDel="00000000" w:rsidR="00000000" w:rsidRPr="00000000">
        <w:rPr>
          <w:rFonts w:ascii="Times New Roman" w:cs="Times New Roman" w:eastAsia="Times New Roman" w:hAnsi="Times New Roman"/>
          <w:b w:val="0"/>
          <w:sz w:val="28"/>
          <w:szCs w:val="28"/>
          <w:vertAlign w:val="baseline"/>
          <w:rtl w:val="0"/>
        </w:rPr>
        <w:t xml:space="preserve">, even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Col. 1:18,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is </w:t>
      </w:r>
      <w:r w:rsidDel="00000000" w:rsidR="00000000" w:rsidRPr="00000000">
        <w:rPr>
          <w:rFonts w:ascii="Times New Roman" w:cs="Times New Roman" w:eastAsia="Times New Roman" w:hAnsi="Times New Roman"/>
          <w:b w:val="0"/>
          <w:sz w:val="28"/>
          <w:szCs w:val="28"/>
          <w:u w:val="single"/>
          <w:vertAlign w:val="baseline"/>
          <w:rtl w:val="0"/>
        </w:rPr>
        <w:t xml:space="preserve">the head</w:t>
      </w:r>
      <w:r w:rsidDel="00000000" w:rsidR="00000000" w:rsidRPr="00000000">
        <w:rPr>
          <w:rFonts w:ascii="Times New Roman" w:cs="Times New Roman" w:eastAsia="Times New Roman" w:hAnsi="Times New Roman"/>
          <w:b w:val="0"/>
          <w:sz w:val="28"/>
          <w:szCs w:val="28"/>
          <w:vertAlign w:val="baseline"/>
          <w:rtl w:val="0"/>
        </w:rPr>
        <w:t xml:space="preserve"> of the body, the church; who is the beginning, the firstborn from the dead that in all things he might have the preeminence.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he is the head of the body, the church, are we, as body members, allowing him to continue to be the head of the church? We ask this question because the Apostle also says concerning the head of the church, that some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holding the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Diaglott,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holding firmly the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Col. 2:19. The Weymouth translation of verses 18 and 19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 one defraud you of your prize, priding himself on his humility and on his worship of the angels, and taking his stand on the visions he has seen, and idly puffed up with his unspiritual thoughts. Such a one does not keep his hold upon Christ, the head, from whom the body, in all its parts nourished and strengthened by its points of contact and its connections, grows with a divine growth.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18 shows that the Apostle is reproving two classes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holding the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would be those, who would, according to Paul (Weymouth translation)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Defraud you of your prize.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would be those who would usurp 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Usurp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to take or seize authority, without a right to it. The Apostle then, is referring to, and reproving two classes of body members. First, those who would usurp the authority, and secondly, those who would allow them to do so. Note the Berean Comments concerning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holding the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Usurping His </w:t>
      </w:r>
      <w:r w:rsidDel="00000000" w:rsidR="00000000" w:rsidRPr="00000000">
        <w:rPr>
          <w:rFonts w:ascii="Times New Roman" w:cs="Times New Roman" w:eastAsia="Times New Roman" w:hAnsi="Times New Roman"/>
          <w:b w:val="0"/>
          <w:sz w:val="28"/>
          <w:szCs w:val="28"/>
          <w:u w:val="single"/>
          <w:vertAlign w:val="baseline"/>
          <w:rtl w:val="0"/>
        </w:rPr>
        <w:t xml:space="preserve">place</w:t>
      </w:r>
      <w:r w:rsidDel="00000000" w:rsidR="00000000" w:rsidRPr="00000000">
        <w:rPr>
          <w:rFonts w:ascii="Times New Roman" w:cs="Times New Roman" w:eastAsia="Times New Roman" w:hAnsi="Times New Roman"/>
          <w:b w:val="0"/>
          <w:sz w:val="28"/>
          <w:szCs w:val="28"/>
          <w:vertAlign w:val="baseline"/>
          <w:rtl w:val="0"/>
        </w:rPr>
        <w:t xml:space="preserve"> in the Church, </w:t>
      </w:r>
      <w:r w:rsidDel="00000000" w:rsidR="00000000" w:rsidRPr="00000000">
        <w:rPr>
          <w:rFonts w:ascii="Times New Roman" w:cs="Times New Roman" w:eastAsia="Times New Roman" w:hAnsi="Times New Roman"/>
          <w:b w:val="0"/>
          <w:sz w:val="28"/>
          <w:szCs w:val="28"/>
          <w:u w:val="single"/>
          <w:vertAlign w:val="baseline"/>
          <w:rtl w:val="0"/>
        </w:rPr>
        <w:t xml:space="preserve">or</w:t>
      </w:r>
      <w:r w:rsidDel="00000000" w:rsidR="00000000" w:rsidRPr="00000000">
        <w:rPr>
          <w:rFonts w:ascii="Times New Roman" w:cs="Times New Roman" w:eastAsia="Times New Roman" w:hAnsi="Times New Roman"/>
          <w:b w:val="0"/>
          <w:sz w:val="28"/>
          <w:szCs w:val="28"/>
          <w:vertAlign w:val="baseline"/>
          <w:rtl w:val="0"/>
        </w:rPr>
        <w:t xml:space="preserve"> quietly doing reverence to those who do.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if a body member should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not my place to usurp authority in the church, and I have no desire to do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such a one, must also take care that he does not allow someone else to do so, by supporting such a person.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we continue to believe in His headship to such a degree, as not to fall into either category, of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holding the head. In answer to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surely we may answer that we believe he appealed to the reasoning ability of all who heard him. How much more should he appeal to our ability to reason and to think.</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refer to ourselves as a religious body, and so we are. We trust that we all recognize that there are other religious bodies that obviously seek to restrain </w:t>
      </w:r>
      <w:r w:rsidDel="00000000" w:rsidR="00000000" w:rsidRPr="00000000">
        <w:rPr>
          <w:sz w:val="28"/>
          <w:szCs w:val="28"/>
          <w:rtl w:val="0"/>
        </w:rPr>
        <w:t xml:space="preserve">one’s</w:t>
      </w:r>
      <w:r w:rsidDel="00000000" w:rsidR="00000000" w:rsidRPr="00000000">
        <w:rPr>
          <w:rFonts w:ascii="Times New Roman" w:cs="Times New Roman" w:eastAsia="Times New Roman" w:hAnsi="Times New Roman"/>
          <w:b w:val="0"/>
          <w:sz w:val="28"/>
          <w:szCs w:val="28"/>
          <w:vertAlign w:val="baseline"/>
          <w:rtl w:val="0"/>
        </w:rPr>
        <w:t xml:space="preserve"> ability to reason. There are those who appeal chiefly to the fears, the passions and the prejudices of their people. The Lord to the contrary of this, calls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now, and let us reason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1:18) We are to think, and to reason, and we can do it together, with God, and with one another. In order to reason together, we must of necessity have the same source of Truth, and the Scriptures lay down certain limitations. We are invited,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to reason within the lines of what is revealed. The Apostle Paul in 1 Cor. 4:6</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cautions the church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should learn, not to think above what has been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(Diaglott)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page 2890 (fourth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who are awakened to independent thinking are careless of the </w:t>
      </w:r>
      <w:r w:rsidDel="00000000" w:rsidR="00000000" w:rsidRPr="00000000">
        <w:rPr>
          <w:rFonts w:ascii="Times New Roman" w:cs="Times New Roman" w:eastAsia="Times New Roman" w:hAnsi="Times New Roman"/>
          <w:b w:val="0"/>
          <w:sz w:val="28"/>
          <w:szCs w:val="28"/>
          <w:u w:val="single"/>
          <w:vertAlign w:val="baseline"/>
          <w:rtl w:val="0"/>
        </w:rPr>
        <w:t xml:space="preserve">limitations</w:t>
      </w:r>
      <w:r w:rsidDel="00000000" w:rsidR="00000000" w:rsidRPr="00000000">
        <w:rPr>
          <w:rFonts w:ascii="Times New Roman" w:cs="Times New Roman" w:eastAsia="Times New Roman" w:hAnsi="Times New Roman"/>
          <w:b w:val="0"/>
          <w:sz w:val="28"/>
          <w:szCs w:val="28"/>
          <w:vertAlign w:val="baseline"/>
          <w:rtl w:val="0"/>
        </w:rPr>
        <w:t xml:space="preserve"> of the divine revelation, and consequently the influence of the divine Word upon them is a mental liberty and enlightenment which, lacking the divine control, is very apt to go to the extreme of license, selfishness, self-conceit and infidelity. Wherever the Bible has gone it has been the torch which has led civilization: millions have profited by its enlightening influence, though only comparatively few walk close to its light and within its prescribed limitations of reason and conduct; and these few are the true Christians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‘wheat’ of this 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first-fruits unto God of his creatures,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God is now harvesting.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James 1:18.</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Whatever influence the Bible has had upon others, in order for us to have honest answers concerning what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must walk as well as reason within the limitations laid down in the Bible. In coming to the Truth (or being drawn to it) we learned after all, that the Bible was not a fiddle on which any tune could be played. Before we knew that there was such a thing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looked at 2 Peter 3:7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heavens and the earth which are now, by the same word are kept in store, reserved unto fire against the day of judgment and perdition of ungodly m</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supposed from this, that the earth itself would be destroyed by fire. But no, this text must be interpreted with the Scriptures as a whole. Eccl. 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generation passeth away, and another generation cometh; but the earth abideth for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supposing that Peter spoke of the literal heavens and earth, we did violence to the text in Ecclesiastes.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and many other seemingly contradictory and obscure passages were made clear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he not revealed the Truth to us? Was it not the Lord himself who referred to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Faithful</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wise</w:t>
      </w:r>
      <w:r w:rsidDel="00000000" w:rsidR="00000000" w:rsidRPr="00000000">
        <w:rPr>
          <w:rFonts w:ascii="Times New Roman" w:cs="Times New Roman" w:eastAsia="Times New Roman" w:hAnsi="Times New Roman"/>
          <w:b w:val="0"/>
          <w:sz w:val="28"/>
          <w:szCs w:val="28"/>
          <w:vertAlign w:val="baseline"/>
          <w:rtl w:val="0"/>
        </w:rPr>
        <w:t xml:space="preserv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one who would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Dispense meat, or truth to the household at this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24:45)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been used as the finger of the Lord, to point to the scriptures that reveal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often see a sign at the end of a hallway in the shape of a human hand, pointing to an exit or an entry way. Indeed the Pastor has been used as the finger of the Lord, to help us to exit error, and enter, the Truth. He has straightened out the crooked and out-of-line doctrines of the dark ages.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has done away with the dark age confusion. We have today, what is known as a pre-cut house. This pre-cut house is ready to nail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pieces are numbered and a blueprint is provided to direct the one erecting the house, to the proper procedure in placing those pieces. This is the role of Bro. Russell, as it were. He has numbered the pieces, if you will, to help us understand the great Divine Plan of the Ages.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Does it not seem logical that if the Master himself appealed to the reason of even His enemies, at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first advent, that the servant he would send would do likewise? Even much more appeal to the reason of the Lord’s own people?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think ye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we not think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returned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being able to care for us, as He did the early church? The time is here when the Lord was to send the meat in due season. He has shown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has been through the six volumes of Scripture Studies, Tabernacle Shadows and the Reprints. We suggest that this is the Lord’s method of bringing to us the Truth. This is the source of Truth today. We can continue to offer and recommend these, to any who have a hearing ear and are desirous of knowing something of the great Divine Plan. Colporteurs were used at the beginning of the harvest of this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can be colporteurs in the sense of upholding the volumes, selling them if you please!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0940"/>
      </w:tabs>
      <w:spacing w:after="72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72"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